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769" w:rsidRPr="00FC2769" w:rsidRDefault="00FC2769" w:rsidP="00FC2769">
      <w:pPr>
        <w:autoSpaceDE w:val="0"/>
        <w:autoSpaceDN w:val="0"/>
        <w:jc w:val="center"/>
        <w:rPr>
          <w:rStyle w:val="Hyperlink"/>
          <w:rFonts w:ascii="Century Gothic" w:hAnsi="Century Gothic"/>
          <w:b/>
          <w:bCs/>
          <w:color w:val="185A9C"/>
          <w:u w:val="none"/>
          <w:bdr w:val="none" w:sz="0" w:space="0" w:color="auto" w:frame="1"/>
          <w:shd w:val="clear" w:color="auto" w:fill="FFFFFF"/>
        </w:rPr>
      </w:pPr>
      <w:bookmarkStart w:id="0" w:name="_GoBack"/>
      <w:bookmarkEnd w:id="0"/>
      <w:r w:rsidRPr="00FC2769">
        <w:rPr>
          <w:rStyle w:val="Hyperlink"/>
          <w:rFonts w:ascii="Century Gothic" w:hAnsi="Century Gothic"/>
          <w:b/>
          <w:bCs/>
          <w:color w:val="185A9C"/>
          <w:u w:val="none"/>
          <w:bdr w:val="none" w:sz="0" w:space="0" w:color="auto" w:frame="1"/>
          <w:shd w:val="clear" w:color="auto" w:fill="FFFFFF"/>
        </w:rPr>
        <w:t>“Keystone XL Pipeline Project Compliance Follow-up Review: The Department of State’s Choice of Environmental Resources Management, Inc., To Assist in Preparing the Supplemental Environmental Impact Statement.”</w:t>
      </w:r>
    </w:p>
    <w:p w:rsidR="00FC2769" w:rsidRDefault="00FC2769" w:rsidP="00FC2769">
      <w:pPr>
        <w:autoSpaceDE w:val="0"/>
        <w:autoSpaceDN w:val="0"/>
        <w:rPr>
          <w:rFonts w:ascii="Century Gothic" w:hAnsi="Century Gothic"/>
          <w:color w:val="1F497D"/>
          <w:u w:val="single"/>
        </w:rPr>
      </w:pPr>
    </w:p>
    <w:p w:rsidR="000C3C1D" w:rsidRDefault="000C3C1D" w:rsidP="00FC2769">
      <w:pPr>
        <w:autoSpaceDE w:val="0"/>
        <w:autoSpaceDN w:val="0"/>
        <w:rPr>
          <w:rFonts w:ascii="Century Gothic" w:hAnsi="Century Gothic"/>
          <w:color w:val="1F497D"/>
          <w:u w:val="single"/>
        </w:rPr>
      </w:pPr>
    </w:p>
    <w:p w:rsidR="000C3C1D" w:rsidRDefault="000C3C1D" w:rsidP="00FC2769">
      <w:pPr>
        <w:autoSpaceDE w:val="0"/>
        <w:autoSpaceDN w:val="0"/>
        <w:rPr>
          <w:rFonts w:ascii="Century Gothic" w:hAnsi="Century Gothic"/>
          <w:color w:val="1F497D"/>
          <w:u w:val="single"/>
        </w:rPr>
      </w:pPr>
    </w:p>
    <w:p w:rsidR="00FC2769" w:rsidRDefault="00FC2769" w:rsidP="00FC2769">
      <w:pPr>
        <w:autoSpaceDE w:val="0"/>
        <w:autoSpaceDN w:val="0"/>
        <w:rPr>
          <w:rFonts w:ascii="Century Gothic" w:hAnsi="Century Gothic"/>
          <w:color w:val="1F497D"/>
        </w:rPr>
      </w:pPr>
      <w:r>
        <w:rPr>
          <w:rFonts w:ascii="Century Gothic" w:hAnsi="Century Gothic"/>
          <w:color w:val="1F497D"/>
          <w:u w:val="single"/>
        </w:rPr>
        <w:t>Objective</w:t>
      </w:r>
    </w:p>
    <w:p w:rsidR="00FC2769" w:rsidRDefault="00FC2769" w:rsidP="00FC2769">
      <w:pPr>
        <w:autoSpaceDE w:val="0"/>
        <w:autoSpaceDN w:val="0"/>
        <w:ind w:left="720"/>
        <w:rPr>
          <w:rFonts w:ascii="Century Gothic" w:hAnsi="Century Gothic"/>
          <w:color w:val="1F497D"/>
          <w:u w:val="single"/>
        </w:rPr>
      </w:pPr>
    </w:p>
    <w:p w:rsidR="00FC2769" w:rsidRPr="00FC2769" w:rsidRDefault="00FC2769" w:rsidP="00FC2769">
      <w:pPr>
        <w:autoSpaceDE w:val="0"/>
        <w:autoSpaceDN w:val="0"/>
        <w:rPr>
          <w:rFonts w:ascii="Century Gothic" w:hAnsi="Century Gothic"/>
          <w:color w:val="1F497D"/>
          <w:u w:val="single"/>
        </w:rPr>
      </w:pPr>
      <w:r w:rsidRPr="00FC2769">
        <w:rPr>
          <w:rFonts w:ascii="Century Gothic" w:hAnsi="Century Gothic"/>
          <w:color w:val="1F497D"/>
        </w:rPr>
        <w:t>OIG conducted this follow-up review of its 2012 report (</w:t>
      </w:r>
      <w:hyperlink r:id="rId6" w:history="1">
        <w:r w:rsidRPr="00FC2769">
          <w:rPr>
            <w:rStyle w:val="Hyperlink"/>
            <w:rFonts w:ascii="Century Gothic" w:hAnsi="Century Gothic"/>
            <w:b/>
            <w:bCs/>
            <w:color w:val="185A9C"/>
            <w:bdr w:val="none" w:sz="0" w:space="0" w:color="auto" w:frame="1"/>
            <w:shd w:val="clear" w:color="auto" w:fill="FFFFFF"/>
          </w:rPr>
          <w:t>Special Review of the Keystone XL Pipeline Permit Process -  AUD/SI-12-28</w:t>
        </w:r>
        <w:r w:rsidRPr="00FC2769">
          <w:rPr>
            <w:rStyle w:val="Hyperlink"/>
            <w:rFonts w:ascii="Century Gothic" w:hAnsi="Century Gothic"/>
            <w:color w:val="185A9C"/>
            <w:u w:val="none"/>
            <w:bdr w:val="none" w:sz="0" w:space="0" w:color="auto" w:frame="1"/>
            <w:shd w:val="clear" w:color="auto" w:fill="FFFFFF"/>
          </w:rPr>
          <w:t>)</w:t>
        </w:r>
      </w:hyperlink>
      <w:r w:rsidRPr="00FC2769">
        <w:rPr>
          <w:rFonts w:ascii="Century Gothic" w:hAnsi="Century Gothic"/>
          <w:color w:val="000000"/>
          <w:shd w:val="clear" w:color="auto" w:fill="FFFFFF"/>
        </w:rPr>
        <w:t> </w:t>
      </w:r>
      <w:r w:rsidRPr="00FC2769">
        <w:rPr>
          <w:rFonts w:ascii="Century Gothic" w:hAnsi="Century Gothic"/>
          <w:color w:val="1F497D"/>
        </w:rPr>
        <w:t xml:space="preserve">to determine how well the process used to select ERM followed prescribed guidance and to determine how effective the revised process was in assessing and addressing organizational conflicts of interest for third-party contractors.  </w:t>
      </w:r>
    </w:p>
    <w:p w:rsidR="00FC2769" w:rsidRDefault="00FC2769" w:rsidP="00FC2769">
      <w:pPr>
        <w:pStyle w:val="ListParagraph"/>
        <w:autoSpaceDE w:val="0"/>
        <w:autoSpaceDN w:val="0"/>
        <w:ind w:left="1800"/>
        <w:rPr>
          <w:rFonts w:ascii="Century Gothic" w:hAnsi="Century Gothic"/>
          <w:color w:val="1F497D"/>
          <w:u w:val="single"/>
        </w:rPr>
      </w:pPr>
    </w:p>
    <w:p w:rsidR="000C3C1D" w:rsidRDefault="000C3C1D" w:rsidP="00FC2769">
      <w:pPr>
        <w:autoSpaceDE w:val="0"/>
        <w:autoSpaceDN w:val="0"/>
        <w:rPr>
          <w:rFonts w:ascii="Century Gothic" w:hAnsi="Century Gothic"/>
          <w:color w:val="1F497D"/>
          <w:u w:val="single"/>
        </w:rPr>
      </w:pPr>
    </w:p>
    <w:p w:rsidR="000C3C1D" w:rsidRDefault="000C3C1D" w:rsidP="00FC2769">
      <w:pPr>
        <w:autoSpaceDE w:val="0"/>
        <w:autoSpaceDN w:val="0"/>
        <w:rPr>
          <w:rFonts w:ascii="Century Gothic" w:hAnsi="Century Gothic"/>
          <w:color w:val="1F497D"/>
          <w:u w:val="single"/>
        </w:rPr>
      </w:pPr>
    </w:p>
    <w:p w:rsidR="00FC2769" w:rsidRDefault="00FC2769" w:rsidP="00FC2769">
      <w:pPr>
        <w:autoSpaceDE w:val="0"/>
        <w:autoSpaceDN w:val="0"/>
        <w:rPr>
          <w:rFonts w:ascii="Century Gothic" w:hAnsi="Century Gothic"/>
          <w:color w:val="1F497D"/>
        </w:rPr>
      </w:pPr>
      <w:r>
        <w:rPr>
          <w:rFonts w:ascii="Century Gothic" w:hAnsi="Century Gothic"/>
          <w:color w:val="1F497D"/>
          <w:u w:val="single"/>
        </w:rPr>
        <w:t>Review Process</w:t>
      </w:r>
    </w:p>
    <w:p w:rsidR="00FC2769" w:rsidRDefault="00FC2769" w:rsidP="00FC2769">
      <w:pPr>
        <w:pStyle w:val="ListParagraph"/>
        <w:autoSpaceDE w:val="0"/>
        <w:autoSpaceDN w:val="0"/>
        <w:ind w:left="0"/>
        <w:rPr>
          <w:rFonts w:ascii="Century Gothic" w:hAnsi="Century Gothic"/>
          <w:color w:val="1F497D"/>
          <w:u w:val="single"/>
        </w:rPr>
      </w:pPr>
    </w:p>
    <w:p w:rsidR="00FC2769" w:rsidRPr="00FC2769" w:rsidRDefault="00FC2769" w:rsidP="00FC2769">
      <w:pPr>
        <w:autoSpaceDE w:val="0"/>
        <w:autoSpaceDN w:val="0"/>
        <w:rPr>
          <w:rFonts w:ascii="Century Gothic" w:hAnsi="Century Gothic"/>
          <w:color w:val="1F497D"/>
          <w:u w:val="single"/>
        </w:rPr>
      </w:pPr>
      <w:r w:rsidRPr="00FC2769">
        <w:rPr>
          <w:rFonts w:ascii="Century Gothic" w:hAnsi="Century Gothic"/>
          <w:color w:val="1F497D"/>
        </w:rPr>
        <w:t xml:space="preserve">As part of this review, OIG evaluated the Department’s handling of potential conflict of interest issues, including conflict of interest allegations regarding ERM that were raised in the letters to OIG.  </w:t>
      </w:r>
    </w:p>
    <w:p w:rsidR="00FC2769" w:rsidRDefault="00FC2769" w:rsidP="00FC2769">
      <w:pPr>
        <w:pStyle w:val="ListParagraph"/>
        <w:autoSpaceDE w:val="0"/>
        <w:autoSpaceDN w:val="0"/>
        <w:ind w:left="1800"/>
        <w:rPr>
          <w:rFonts w:ascii="Century Gothic" w:hAnsi="Century Gothic"/>
          <w:color w:val="1F497D"/>
          <w:u w:val="single"/>
        </w:rPr>
      </w:pPr>
    </w:p>
    <w:p w:rsidR="00FC2769" w:rsidRPr="00FC2769" w:rsidRDefault="00FC2769" w:rsidP="00FC2769">
      <w:pPr>
        <w:autoSpaceDE w:val="0"/>
        <w:autoSpaceDN w:val="0"/>
        <w:rPr>
          <w:rFonts w:ascii="Century Gothic" w:hAnsi="Century Gothic"/>
          <w:color w:val="1F497D"/>
          <w:u w:val="single"/>
        </w:rPr>
      </w:pPr>
      <w:r w:rsidRPr="00FC2769">
        <w:rPr>
          <w:rFonts w:ascii="Century Gothic" w:hAnsi="Century Gothic"/>
          <w:color w:val="1F497D"/>
        </w:rPr>
        <w:t>To conduct this review, OIG reviewed documentation and interviewed Department officials, Federal Energy Regulatory Commission (FERC) officials, and ERM employees.</w:t>
      </w:r>
    </w:p>
    <w:p w:rsidR="00FC2769" w:rsidRDefault="00FC2769" w:rsidP="00FC2769">
      <w:pPr>
        <w:autoSpaceDE w:val="0"/>
        <w:autoSpaceDN w:val="0"/>
        <w:rPr>
          <w:color w:val="1F497D"/>
          <w:u w:val="single"/>
        </w:rPr>
      </w:pPr>
    </w:p>
    <w:p w:rsidR="000C3C1D" w:rsidRDefault="000C3C1D" w:rsidP="00FC2769">
      <w:pPr>
        <w:autoSpaceDE w:val="0"/>
        <w:autoSpaceDN w:val="0"/>
        <w:rPr>
          <w:rFonts w:ascii="Century Gothic" w:hAnsi="Century Gothic"/>
          <w:color w:val="1F497D"/>
          <w:u w:val="single"/>
        </w:rPr>
      </w:pPr>
    </w:p>
    <w:p w:rsidR="000C3C1D" w:rsidRDefault="000C3C1D" w:rsidP="00FC2769">
      <w:pPr>
        <w:autoSpaceDE w:val="0"/>
        <w:autoSpaceDN w:val="0"/>
        <w:rPr>
          <w:rFonts w:ascii="Century Gothic" w:hAnsi="Century Gothic"/>
          <w:color w:val="1F497D"/>
          <w:u w:val="single"/>
        </w:rPr>
      </w:pPr>
    </w:p>
    <w:p w:rsidR="00FC2769" w:rsidRDefault="00FC2769" w:rsidP="00FC2769">
      <w:pPr>
        <w:autoSpaceDE w:val="0"/>
        <w:autoSpaceDN w:val="0"/>
        <w:rPr>
          <w:rFonts w:ascii="Century Gothic" w:hAnsi="Century Gothic"/>
          <w:color w:val="1F497D"/>
          <w:u w:val="single"/>
        </w:rPr>
      </w:pPr>
      <w:r>
        <w:rPr>
          <w:rFonts w:ascii="Century Gothic" w:hAnsi="Century Gothic"/>
          <w:color w:val="1F497D"/>
          <w:u w:val="single"/>
        </w:rPr>
        <w:t>Key findings</w:t>
      </w:r>
    </w:p>
    <w:p w:rsidR="00FC2769" w:rsidRDefault="00FC2769" w:rsidP="00FC2769">
      <w:pPr>
        <w:autoSpaceDE w:val="0"/>
        <w:autoSpaceDN w:val="0"/>
        <w:rPr>
          <w:rFonts w:ascii="Century Gothic" w:hAnsi="Century Gothic"/>
          <w:color w:val="1F497D"/>
          <w:u w:val="single"/>
        </w:rPr>
      </w:pPr>
    </w:p>
    <w:p w:rsidR="00FC2769" w:rsidRPr="00E91E48" w:rsidRDefault="00FC2769" w:rsidP="00E91E48">
      <w:pPr>
        <w:pStyle w:val="ListParagraph"/>
        <w:numPr>
          <w:ilvl w:val="0"/>
          <w:numId w:val="2"/>
        </w:numPr>
        <w:autoSpaceDE w:val="0"/>
        <w:autoSpaceDN w:val="0"/>
        <w:ind w:left="0"/>
        <w:rPr>
          <w:rFonts w:ascii="Century Gothic" w:hAnsi="Century Gothic"/>
          <w:b/>
          <w:i/>
          <w:color w:val="1F497D"/>
        </w:rPr>
      </w:pPr>
      <w:r w:rsidRPr="00E91E48">
        <w:rPr>
          <w:rFonts w:ascii="Century Gothic" w:hAnsi="Century Gothic"/>
          <w:b/>
          <w:i/>
          <w:color w:val="1F497D"/>
        </w:rPr>
        <w:t>OIG found that the process the Department used to select a third-party contractor to help prepare the Keystone XL SEIS substantially followed its prescribed guidance, and at times was more rigorous than that guidance. While in two instances the Department made reasonable deviations from its prescribed guidance, OIG found that these deviations did not adversely affect the selection process.</w:t>
      </w:r>
    </w:p>
    <w:p w:rsidR="00FC2769" w:rsidRDefault="00FC2769" w:rsidP="00FC2769">
      <w:pPr>
        <w:pStyle w:val="ListParagraph"/>
        <w:autoSpaceDE w:val="0"/>
        <w:autoSpaceDN w:val="0"/>
        <w:ind w:left="1800"/>
        <w:rPr>
          <w:rFonts w:ascii="Century Gothic" w:hAnsi="Century Gothic"/>
          <w:color w:val="1F497D"/>
        </w:rPr>
      </w:pPr>
    </w:p>
    <w:p w:rsidR="00FC2769" w:rsidRDefault="00FC2769" w:rsidP="00FC2769">
      <w:pPr>
        <w:pStyle w:val="ListParagraph"/>
        <w:numPr>
          <w:ilvl w:val="0"/>
          <w:numId w:val="2"/>
        </w:numPr>
        <w:autoSpaceDE w:val="0"/>
        <w:autoSpaceDN w:val="0"/>
        <w:ind w:left="0"/>
        <w:rPr>
          <w:rFonts w:ascii="Century Gothic" w:hAnsi="Century Gothic"/>
          <w:color w:val="1F497D"/>
        </w:rPr>
      </w:pPr>
      <w:r>
        <w:rPr>
          <w:rFonts w:ascii="Century Gothic" w:hAnsi="Century Gothic"/>
          <w:color w:val="1F497D"/>
        </w:rPr>
        <w:t>The process the Department used to assess whether Environmental Resources Management, Inc. (ERM) had organizational conflicts of interest was effective in that (i) a reasonable review was undertaken to independently evaluate ERM’s certification that it had no conflict of interest and (ii) the process achieved its intended result.</w:t>
      </w:r>
      <w:r>
        <w:rPr>
          <w:color w:val="1F497D"/>
        </w:rPr>
        <w:t xml:space="preserve"> </w:t>
      </w:r>
      <w:r>
        <w:rPr>
          <w:rFonts w:ascii="Century Gothic" w:hAnsi="Century Gothic"/>
          <w:color w:val="1F497D"/>
        </w:rPr>
        <w:t>The Department’s attorneys reviewed all conflict of interest material submitted by ERM and TransCanada and made additional inquiries on potential issues. Furthermore, the attorneys analyzed this information in a manner consistent with the Department’s guidance, applicable regulations and guidance of the White House Council on Environmental Quality (CEQ), and relevant case law.</w:t>
      </w:r>
    </w:p>
    <w:p w:rsidR="00FC2769" w:rsidRDefault="00FC2769" w:rsidP="00FC2769">
      <w:pPr>
        <w:pStyle w:val="ListParagraph"/>
        <w:autoSpaceDE w:val="0"/>
        <w:autoSpaceDN w:val="0"/>
        <w:ind w:left="-1800"/>
        <w:rPr>
          <w:color w:val="1F497D"/>
        </w:rPr>
      </w:pPr>
    </w:p>
    <w:p w:rsidR="00FC2769" w:rsidRDefault="00FC2769" w:rsidP="00FC2769">
      <w:pPr>
        <w:pStyle w:val="ListParagraph"/>
        <w:numPr>
          <w:ilvl w:val="0"/>
          <w:numId w:val="2"/>
        </w:numPr>
        <w:autoSpaceDE w:val="0"/>
        <w:autoSpaceDN w:val="0"/>
        <w:ind w:left="0"/>
        <w:rPr>
          <w:rFonts w:ascii="Century Gothic" w:hAnsi="Century Gothic"/>
          <w:color w:val="1F497D"/>
        </w:rPr>
      </w:pPr>
      <w:r>
        <w:rPr>
          <w:rFonts w:ascii="Century Gothic" w:hAnsi="Century Gothic"/>
          <w:b/>
          <w:bCs/>
          <w:i/>
          <w:iCs/>
          <w:color w:val="1F497D"/>
        </w:rPr>
        <w:t>OIG did find that the process for documenting the contractor selection process, including the conflict of interest review, can be improved.</w:t>
      </w:r>
      <w:r>
        <w:rPr>
          <w:b/>
          <w:bCs/>
          <w:color w:val="1F497D"/>
        </w:rPr>
        <w:t xml:space="preserve"> </w:t>
      </w:r>
      <w:r>
        <w:rPr>
          <w:rFonts w:ascii="Century Gothic" w:hAnsi="Century Gothic"/>
          <w:color w:val="1F497D"/>
        </w:rPr>
        <w:t>The Department should enhance its documentation and disclosure of the third-party contracting process. The current guidance is silent concerning both the documentation required to memorialize the processes and public disclosure of information regarding the processes.  In addition, very little documentation is specifically required by Council on Environmental Quality (CEQ) regulations, and the Department has met those minimal requirements. However, the Department did not fully document its process, and additional documentation would help ensure effective management and oversight of this process,</w:t>
      </w:r>
      <w:r>
        <w:t xml:space="preserve"> </w:t>
      </w:r>
      <w:r>
        <w:rPr>
          <w:rFonts w:ascii="Century Gothic" w:hAnsi="Century Gothic"/>
          <w:color w:val="1F497D"/>
        </w:rPr>
        <w:t>and help reduce potential misperceptions.</w:t>
      </w:r>
      <w:r>
        <w:rPr>
          <w:color w:val="1F497D"/>
        </w:rPr>
        <w:t xml:space="preserve">  </w:t>
      </w:r>
    </w:p>
    <w:p w:rsidR="00FC2769" w:rsidRDefault="00FC2769" w:rsidP="00FC2769">
      <w:pPr>
        <w:autoSpaceDE w:val="0"/>
        <w:autoSpaceDN w:val="0"/>
        <w:rPr>
          <w:color w:val="1F497D"/>
        </w:rPr>
      </w:pPr>
    </w:p>
    <w:p w:rsidR="00FC2769" w:rsidRDefault="00FC2769" w:rsidP="00FC2769">
      <w:pPr>
        <w:autoSpaceDE w:val="0"/>
        <w:autoSpaceDN w:val="0"/>
        <w:rPr>
          <w:color w:val="1F497D"/>
        </w:rPr>
      </w:pPr>
    </w:p>
    <w:p w:rsidR="00FC2769" w:rsidRDefault="00FC2769" w:rsidP="00FC2769">
      <w:pPr>
        <w:pStyle w:val="ListParagraph"/>
        <w:numPr>
          <w:ilvl w:val="0"/>
          <w:numId w:val="2"/>
        </w:numPr>
        <w:autoSpaceDE w:val="0"/>
        <w:autoSpaceDN w:val="0"/>
        <w:ind w:left="0"/>
        <w:rPr>
          <w:rFonts w:ascii="Century Gothic" w:hAnsi="Century Gothic"/>
          <w:color w:val="1F497D"/>
        </w:rPr>
      </w:pPr>
      <w:r>
        <w:rPr>
          <w:rFonts w:ascii="Century Gothic" w:hAnsi="Century Gothic"/>
          <w:color w:val="1F497D"/>
        </w:rPr>
        <w:lastRenderedPageBreak/>
        <w:t>OIG also found that the Department’s public disclosures concerning its conflict of interest review could be improved.  The record shows that ERM provided the Department all required information, disclosures, and certifications in its initial proposal and provided supplemental submissions throughout its ongoing interaction with the Department.  However, when the Department published ERM’s proposal and the draft SEIS in March 2013, the Department agreed to redact information ERM considered confidential business information and did not publish any of ERM’s supplemental submissions.  The Department’s partial disclosure apparently created misperceptions that ERM had not provided all required information to the Department and that ERM and the Department were attempting to conceal conflicts of interest.  Those misperceptions might have been avoided had the Department explained its partial disclosure as part of a more comprehensive approach to disclosing information regarding its conflict of interest review.</w:t>
      </w:r>
    </w:p>
    <w:p w:rsidR="00FC2769" w:rsidRDefault="00FC2769" w:rsidP="00FC2769">
      <w:pPr>
        <w:autoSpaceDE w:val="0"/>
        <w:autoSpaceDN w:val="0"/>
        <w:rPr>
          <w:rFonts w:ascii="Century Gothic" w:hAnsi="Century Gothic"/>
          <w:color w:val="1F497D"/>
          <w:u w:val="single"/>
        </w:rPr>
      </w:pPr>
    </w:p>
    <w:p w:rsidR="00FC2769" w:rsidRDefault="00FC2769" w:rsidP="00FC2769">
      <w:pPr>
        <w:autoSpaceDE w:val="0"/>
        <w:autoSpaceDN w:val="0"/>
        <w:rPr>
          <w:rFonts w:ascii="Century Gothic" w:hAnsi="Century Gothic"/>
          <w:color w:val="1F497D"/>
          <w:u w:val="single"/>
        </w:rPr>
      </w:pPr>
      <w:r>
        <w:rPr>
          <w:rFonts w:ascii="Century Gothic" w:hAnsi="Century Gothic"/>
          <w:color w:val="1F497D"/>
          <w:u w:val="single"/>
        </w:rPr>
        <w:t>Recommendations</w:t>
      </w:r>
    </w:p>
    <w:p w:rsidR="00FC2769" w:rsidRDefault="00FC2769" w:rsidP="00FC2769">
      <w:pPr>
        <w:autoSpaceDE w:val="0"/>
        <w:autoSpaceDN w:val="0"/>
        <w:rPr>
          <w:rFonts w:ascii="Century Gothic" w:hAnsi="Century Gothic"/>
          <w:color w:val="1F497D"/>
          <w:u w:val="single"/>
        </w:rPr>
      </w:pPr>
    </w:p>
    <w:p w:rsidR="00FC2769" w:rsidRDefault="00FC2769" w:rsidP="00E91E48">
      <w:pPr>
        <w:pStyle w:val="ListParagraph"/>
        <w:numPr>
          <w:ilvl w:val="0"/>
          <w:numId w:val="2"/>
        </w:numPr>
        <w:autoSpaceDE w:val="0"/>
        <w:autoSpaceDN w:val="0"/>
        <w:ind w:left="360"/>
        <w:rPr>
          <w:rFonts w:ascii="Century Gothic" w:hAnsi="Century Gothic"/>
          <w:color w:val="1F497D"/>
        </w:rPr>
      </w:pPr>
      <w:r>
        <w:rPr>
          <w:rFonts w:ascii="Century Gothic" w:hAnsi="Century Gothic"/>
          <w:color w:val="1F497D"/>
        </w:rPr>
        <w:t>OIG recommends that the Department’s Bureau of Oceans and International Environmental and Scientific Affairs, in coordination with the Office of the Legal Adviser, enhance its guidance to more fully articulate its selection and conflict of interest review processes.</w:t>
      </w:r>
    </w:p>
    <w:p w:rsidR="00FC2769" w:rsidRDefault="00FC2769" w:rsidP="00E91E48">
      <w:pPr>
        <w:pStyle w:val="ListParagraph"/>
        <w:autoSpaceDE w:val="0"/>
        <w:autoSpaceDN w:val="0"/>
        <w:ind w:left="360"/>
        <w:rPr>
          <w:rFonts w:ascii="Century Gothic" w:hAnsi="Century Gothic"/>
          <w:color w:val="1F497D"/>
        </w:rPr>
      </w:pPr>
    </w:p>
    <w:p w:rsidR="00FC2769" w:rsidRDefault="00FC2769" w:rsidP="00E91E48">
      <w:pPr>
        <w:pStyle w:val="ListParagraph"/>
        <w:numPr>
          <w:ilvl w:val="0"/>
          <w:numId w:val="2"/>
        </w:numPr>
        <w:autoSpaceDE w:val="0"/>
        <w:autoSpaceDN w:val="0"/>
        <w:ind w:left="360"/>
        <w:rPr>
          <w:rFonts w:ascii="Century Gothic" w:hAnsi="Century Gothic"/>
          <w:color w:val="1F497D"/>
        </w:rPr>
      </w:pPr>
      <w:r>
        <w:rPr>
          <w:rFonts w:ascii="Century Gothic" w:hAnsi="Century Gothic"/>
          <w:color w:val="1F497D"/>
        </w:rPr>
        <w:t>OIG recommends that the Department</w:t>
      </w:r>
      <w:r>
        <w:rPr>
          <w:rFonts w:ascii="Century Gothic" w:hAnsi="Century Gothic"/>
          <w:color w:val="1F497D"/>
          <w:sz w:val="24"/>
          <w:szCs w:val="24"/>
        </w:rPr>
        <w:t xml:space="preserve"> explain in greater detail the definition of “organizational conflict of interest” relied upon by the Department.</w:t>
      </w:r>
    </w:p>
    <w:p w:rsidR="00FC2769" w:rsidRDefault="00FC2769" w:rsidP="00E91E48">
      <w:pPr>
        <w:pStyle w:val="ListParagraph"/>
        <w:ind w:left="0"/>
        <w:rPr>
          <w:rFonts w:ascii="Century Gothic" w:hAnsi="Century Gothic"/>
          <w:color w:val="1F497D"/>
        </w:rPr>
      </w:pPr>
    </w:p>
    <w:p w:rsidR="00FC2769" w:rsidRDefault="00FC2769" w:rsidP="00E91E48">
      <w:pPr>
        <w:pStyle w:val="ListParagraph"/>
        <w:numPr>
          <w:ilvl w:val="0"/>
          <w:numId w:val="2"/>
        </w:numPr>
        <w:autoSpaceDE w:val="0"/>
        <w:autoSpaceDN w:val="0"/>
        <w:ind w:left="360"/>
        <w:rPr>
          <w:rFonts w:ascii="Century Gothic" w:hAnsi="Century Gothic"/>
          <w:color w:val="1F497D"/>
        </w:rPr>
      </w:pPr>
      <w:r>
        <w:rPr>
          <w:rFonts w:ascii="Century Gothic" w:hAnsi="Century Gothic"/>
          <w:color w:val="1F497D"/>
        </w:rPr>
        <w:t>OIG recommends that the Department specify in its guidance the documentation required in the contractor selection and conflict of interest processes and establish standard operating procedures to capture and retain this information.</w:t>
      </w:r>
    </w:p>
    <w:p w:rsidR="00FC2769" w:rsidRDefault="00FC2769" w:rsidP="00E91E48">
      <w:pPr>
        <w:pStyle w:val="ListParagraph"/>
        <w:ind w:left="0"/>
        <w:rPr>
          <w:rFonts w:ascii="Century Gothic" w:hAnsi="Century Gothic"/>
          <w:color w:val="1F497D"/>
        </w:rPr>
      </w:pPr>
    </w:p>
    <w:p w:rsidR="004647F5" w:rsidRDefault="00FC2769" w:rsidP="00E91E48">
      <w:pPr>
        <w:pStyle w:val="ListParagraph"/>
        <w:numPr>
          <w:ilvl w:val="0"/>
          <w:numId w:val="2"/>
        </w:numPr>
        <w:autoSpaceDE w:val="0"/>
        <w:autoSpaceDN w:val="0"/>
        <w:ind w:left="360"/>
      </w:pPr>
      <w:r w:rsidRPr="00FC2769">
        <w:rPr>
          <w:rFonts w:ascii="Century Gothic" w:hAnsi="Century Gothic"/>
          <w:color w:val="1F497D"/>
        </w:rPr>
        <w:t>OIG recommends that the Department enhance its guidance to integrate a process for public disclosure of appropriate information.</w:t>
      </w:r>
    </w:p>
    <w:sectPr w:rsidR="004647F5" w:rsidSect="000C3C1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6FE0"/>
    <w:multiLevelType w:val="hybridMultilevel"/>
    <w:tmpl w:val="7416F15E"/>
    <w:lvl w:ilvl="0" w:tplc="04090001">
      <w:start w:val="1"/>
      <w:numFmt w:val="bullet"/>
      <w:lvlText w:val=""/>
      <w:lvlJc w:val="left"/>
      <w:pPr>
        <w:ind w:left="180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6CC6253A"/>
    <w:multiLevelType w:val="hybridMultilevel"/>
    <w:tmpl w:val="CB24C5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769"/>
    <w:rsid w:val="000C3C1D"/>
    <w:rsid w:val="007129C6"/>
    <w:rsid w:val="00E91E48"/>
    <w:rsid w:val="00ED0490"/>
    <w:rsid w:val="00F12471"/>
    <w:rsid w:val="00FC2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76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C2769"/>
    <w:rPr>
      <w:color w:val="0000FF"/>
      <w:u w:val="single"/>
    </w:rPr>
  </w:style>
  <w:style w:type="paragraph" w:styleId="ListParagraph">
    <w:name w:val="List Paragraph"/>
    <w:basedOn w:val="Normal"/>
    <w:uiPriority w:val="34"/>
    <w:qFormat/>
    <w:rsid w:val="00FC2769"/>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769"/>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C2769"/>
    <w:rPr>
      <w:color w:val="0000FF"/>
      <w:u w:val="single"/>
    </w:rPr>
  </w:style>
  <w:style w:type="paragraph" w:styleId="ListParagraph">
    <w:name w:val="List Paragraph"/>
    <w:basedOn w:val="Normal"/>
    <w:uiPriority w:val="34"/>
    <w:qFormat/>
    <w:rsid w:val="00FC276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379373">
      <w:bodyDiv w:val="1"/>
      <w:marLeft w:val="0"/>
      <w:marRight w:val="0"/>
      <w:marTop w:val="0"/>
      <w:marBottom w:val="0"/>
      <w:divBdr>
        <w:top w:val="none" w:sz="0" w:space="0" w:color="auto"/>
        <w:left w:val="none" w:sz="0" w:space="0" w:color="auto"/>
        <w:bottom w:val="none" w:sz="0" w:space="0" w:color="auto"/>
        <w:right w:val="none" w:sz="0" w:space="0" w:color="auto"/>
      </w:divBdr>
    </w:div>
    <w:div w:id="184767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ig.state.gov/documents/organization/183864.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4061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 S Department of State</Company>
  <LinksUpToDate>false</LinksUpToDate>
  <CharactersWithSpaces>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Hillel Weinberg</dc:creator>
  <cp:lastModifiedBy>Hillel Weinberg</cp:lastModifiedBy>
  <cp:revision>2</cp:revision>
  <dcterms:created xsi:type="dcterms:W3CDTF">2014-02-26T20:47:00Z</dcterms:created>
  <dcterms:modified xsi:type="dcterms:W3CDTF">2014-02-26T20:47:00Z</dcterms:modified>
</cp:coreProperties>
</file>